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25D90" w14:textId="535C0D85"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#86</w:t>
      </w:r>
      <w:r w:rsidR="00591088">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92155D">
        <w:rPr>
          <w:rFonts w:ascii="Arial" w:hAnsi="Arial" w:cs="Arial"/>
          <w:sz w:val="24"/>
          <w:szCs w:val="28"/>
          <w:lang w:val="en-CA"/>
        </w:rPr>
        <w:t>5093</w:t>
      </w:r>
    </w:p>
    <w:p w14:paraId="215C0999" w14:textId="77777777" w:rsidR="00D80957" w:rsidRPr="00457F73" w:rsidRDefault="00591088"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Melbourne</w:t>
      </w:r>
      <w:r w:rsidR="00B14854">
        <w:rPr>
          <w:rFonts w:ascii="Arial" w:hAnsi="Arial" w:cs="Arial"/>
          <w:sz w:val="24"/>
          <w:szCs w:val="28"/>
          <w:lang w:val="en-CA"/>
        </w:rPr>
        <w:t xml:space="preserve">, </w:t>
      </w:r>
      <w:r>
        <w:rPr>
          <w:rFonts w:ascii="Arial" w:hAnsi="Arial" w:cs="Arial"/>
          <w:sz w:val="24"/>
          <w:szCs w:val="28"/>
          <w:lang w:val="en-CA"/>
        </w:rPr>
        <w:t>Australia</w:t>
      </w:r>
      <w:r w:rsidR="00A2225E">
        <w:rPr>
          <w:rFonts w:ascii="Arial" w:hAnsi="Arial" w:cs="Arial"/>
          <w:sz w:val="24"/>
          <w:szCs w:val="28"/>
          <w:lang w:val="en-CA"/>
        </w:rPr>
        <w:t xml:space="preserve">, </w:t>
      </w:r>
      <w:r>
        <w:rPr>
          <w:rFonts w:ascii="Arial" w:hAnsi="Arial" w:cs="Arial"/>
          <w:sz w:val="24"/>
          <w:szCs w:val="28"/>
          <w:lang w:val="en-CA"/>
        </w:rPr>
        <w:t>April 16 – 20,</w:t>
      </w:r>
      <w:r w:rsidR="00B14854">
        <w:rPr>
          <w:rFonts w:ascii="Arial" w:hAnsi="Arial" w:cs="Arial"/>
          <w:sz w:val="24"/>
          <w:szCs w:val="28"/>
          <w:lang w:val="en-CA"/>
        </w:rPr>
        <w:t xml:space="preserve"> 2018</w:t>
      </w:r>
    </w:p>
    <w:p w14:paraId="62E8F378" w14:textId="059061B3"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92155D">
        <w:rPr>
          <w:rFonts w:ascii="Arial" w:hAnsi="Arial" w:cs="Arial"/>
          <w:sz w:val="22"/>
          <w:szCs w:val="22"/>
          <w:lang w:val="en-US"/>
        </w:rPr>
        <w:t>7.9.5</w:t>
      </w:r>
    </w:p>
    <w:p w14:paraId="1DD1337A"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7DB08843" w14:textId="77777777"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E829C8" w:rsidRPr="00E829C8">
        <w:rPr>
          <w:rFonts w:ascii="Arial" w:hAnsi="Arial" w:cs="Arial"/>
          <w:sz w:val="22"/>
          <w:szCs w:val="22"/>
          <w:lang w:val="en-CA"/>
        </w:rPr>
        <w:t>Definition of known and unknown cells in FR1 and FR2</w:t>
      </w:r>
    </w:p>
    <w:p w14:paraId="78687456" w14:textId="56641D38"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943A4">
        <w:rPr>
          <w:rFonts w:ascii="Arial" w:hAnsi="Arial" w:cs="Arial"/>
          <w:sz w:val="22"/>
          <w:szCs w:val="22"/>
          <w:lang w:val="en-CA"/>
        </w:rPr>
        <w:t>Approval</w:t>
      </w:r>
    </w:p>
    <w:p w14:paraId="5A440D23" w14:textId="77777777"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3181DF84" w14:textId="467D9874" w:rsidR="00500AD0" w:rsidRDefault="00500AD0" w:rsidP="00FE2EFB">
      <w:pPr>
        <w:jc w:val="both"/>
        <w:rPr>
          <w:sz w:val="22"/>
          <w:lang w:val="en-CA"/>
        </w:rPr>
      </w:pPr>
      <w:r>
        <w:rPr>
          <w:sz w:val="22"/>
          <w:lang w:val="en-CA"/>
        </w:rPr>
        <w:t>At RAN4#86, the definitions of known and unknown cell were discussed extensively in the context of PSCell addition and SCell activation</w:t>
      </w:r>
      <w:r w:rsidR="00F14E85">
        <w:rPr>
          <w:sz w:val="22"/>
          <w:lang w:val="en-CA"/>
        </w:rPr>
        <w:t xml:space="preserve"> </w:t>
      </w:r>
      <w:r w:rsidR="00F14E85">
        <w:rPr>
          <w:sz w:val="22"/>
          <w:lang w:val="en-CA"/>
        </w:rPr>
        <w:fldChar w:fldCharType="begin"/>
      </w:r>
      <w:r w:rsidR="00F14E85">
        <w:rPr>
          <w:sz w:val="22"/>
          <w:lang w:val="en-CA"/>
        </w:rPr>
        <w:instrText xml:space="preserve"> REF _Ref498420781 \r \h </w:instrText>
      </w:r>
      <w:r w:rsidR="00F14E85">
        <w:rPr>
          <w:sz w:val="22"/>
          <w:lang w:val="en-CA"/>
        </w:rPr>
      </w:r>
      <w:r w:rsidR="00F14E85">
        <w:rPr>
          <w:sz w:val="22"/>
          <w:lang w:val="en-CA"/>
        </w:rPr>
        <w:fldChar w:fldCharType="separate"/>
      </w:r>
      <w:r w:rsidR="00F14E85">
        <w:rPr>
          <w:sz w:val="22"/>
          <w:lang w:val="en-CA"/>
        </w:rPr>
        <w:t>[1]</w:t>
      </w:r>
      <w:r w:rsidR="00F14E85">
        <w:rPr>
          <w:sz w:val="22"/>
          <w:lang w:val="en-CA"/>
        </w:rPr>
        <w:fldChar w:fldCharType="end"/>
      </w:r>
      <w:r w:rsidR="00F14E85">
        <w:rPr>
          <w:sz w:val="22"/>
          <w:lang w:val="en-CA"/>
        </w:rPr>
        <w:t>-</w:t>
      </w:r>
      <w:r w:rsidR="00F14E85">
        <w:rPr>
          <w:sz w:val="22"/>
          <w:lang w:val="en-CA"/>
        </w:rPr>
        <w:fldChar w:fldCharType="begin"/>
      </w:r>
      <w:r w:rsidR="00F14E85">
        <w:rPr>
          <w:sz w:val="22"/>
          <w:lang w:val="en-CA"/>
        </w:rPr>
        <w:instrText xml:space="preserve"> REF _Ref510817041 \r \h </w:instrText>
      </w:r>
      <w:r w:rsidR="00F14E85">
        <w:rPr>
          <w:sz w:val="22"/>
          <w:lang w:val="en-CA"/>
        </w:rPr>
      </w:r>
      <w:r w:rsidR="00F14E85">
        <w:rPr>
          <w:sz w:val="22"/>
          <w:lang w:val="en-CA"/>
        </w:rPr>
        <w:fldChar w:fldCharType="separate"/>
      </w:r>
      <w:r w:rsidR="00F14E85">
        <w:rPr>
          <w:sz w:val="22"/>
          <w:lang w:val="en-CA"/>
        </w:rPr>
        <w:t>[4]</w:t>
      </w:r>
      <w:r w:rsidR="00F14E85">
        <w:rPr>
          <w:sz w:val="22"/>
          <w:lang w:val="en-CA"/>
        </w:rPr>
        <w:fldChar w:fldCharType="end"/>
      </w:r>
      <w:r>
        <w:rPr>
          <w:sz w:val="22"/>
          <w:lang w:val="en-CA"/>
        </w:rPr>
        <w:t>. The definitions are used in multiple RRM core requirements, where in general, if a cell is considered unknown, more time is allowed than had the cell been known.</w:t>
      </w:r>
    </w:p>
    <w:p w14:paraId="5706B10B" w14:textId="6A0E3781" w:rsidR="0047507F" w:rsidRDefault="00313D78" w:rsidP="00FE2EFB">
      <w:pPr>
        <w:jc w:val="both"/>
        <w:rPr>
          <w:sz w:val="22"/>
          <w:lang w:val="en-CA"/>
        </w:rPr>
      </w:pPr>
      <w:r w:rsidRPr="00C01AF1">
        <w:rPr>
          <w:sz w:val="22"/>
          <w:lang w:val="en-CA"/>
        </w:rPr>
        <w:t>In this contribution we continu</w:t>
      </w:r>
      <w:r w:rsidR="00F14E85">
        <w:rPr>
          <w:sz w:val="22"/>
          <w:lang w:val="en-CA"/>
        </w:rPr>
        <w:t>e</w:t>
      </w:r>
      <w:r w:rsidRPr="00C01AF1">
        <w:rPr>
          <w:sz w:val="22"/>
          <w:lang w:val="en-CA"/>
        </w:rPr>
        <w:t xml:space="preserve"> the discussion on the definitions</w:t>
      </w:r>
      <w:r w:rsidR="00F14E85">
        <w:rPr>
          <w:sz w:val="22"/>
          <w:lang w:val="en-CA"/>
        </w:rPr>
        <w:t xml:space="preserve"> and make two proposals.</w:t>
      </w:r>
    </w:p>
    <w:p w14:paraId="2336AA48" w14:textId="7706B317" w:rsidR="0089497E" w:rsidRDefault="00FF6031" w:rsidP="0089497E">
      <w:pPr>
        <w:pStyle w:val="Heading1"/>
        <w:ind w:left="431" w:hanging="431"/>
        <w:rPr>
          <w:szCs w:val="36"/>
          <w:lang w:val="en-CA"/>
        </w:rPr>
      </w:pPr>
      <w:r>
        <w:rPr>
          <w:szCs w:val="36"/>
          <w:lang w:val="en-CA"/>
        </w:rPr>
        <w:t>Discussion</w:t>
      </w:r>
    </w:p>
    <w:p w14:paraId="2BA00DF4" w14:textId="4D4B4ADA" w:rsidR="000C451C" w:rsidRDefault="005048A6" w:rsidP="00F13257">
      <w:pPr>
        <w:jc w:val="both"/>
        <w:rPr>
          <w:sz w:val="22"/>
          <w:lang w:val="en-CA"/>
        </w:rPr>
      </w:pPr>
      <w:r>
        <w:rPr>
          <w:sz w:val="22"/>
          <w:lang w:val="en-CA"/>
        </w:rPr>
        <w:t xml:space="preserve">The definitions in E-UTRA </w:t>
      </w:r>
      <w:r w:rsidR="000C451C">
        <w:rPr>
          <w:sz w:val="22"/>
          <w:lang w:val="en-CA"/>
        </w:rPr>
        <w:t>for</w:t>
      </w:r>
      <w:r>
        <w:rPr>
          <w:sz w:val="22"/>
          <w:lang w:val="en-CA"/>
        </w:rPr>
        <w:t xml:space="preserve"> known or unknown cell </w:t>
      </w:r>
      <w:r w:rsidR="000A56E8">
        <w:rPr>
          <w:sz w:val="22"/>
          <w:lang w:val="en-CA"/>
        </w:rPr>
        <w:t>in</w:t>
      </w:r>
      <w:bookmarkStart w:id="3" w:name="_GoBack"/>
      <w:bookmarkEnd w:id="3"/>
      <w:r w:rsidR="000A56E8">
        <w:rPr>
          <w:sz w:val="22"/>
          <w:lang w:val="en-CA"/>
        </w:rPr>
        <w:t xml:space="preserve"> case of </w:t>
      </w:r>
      <w:r w:rsidR="00BC79CA">
        <w:rPr>
          <w:sz w:val="22"/>
          <w:lang w:val="en-CA"/>
        </w:rPr>
        <w:t xml:space="preserve">SCell activation are based on that the cell is detectable, has been reported within a certain time </w:t>
      </w:r>
      <w:proofErr w:type="spellStart"/>
      <w:r w:rsidR="007D22B3">
        <w:rPr>
          <w:sz w:val="22"/>
          <w:lang w:val="en-CA"/>
        </w:rPr>
        <w:t>eriod</w:t>
      </w:r>
      <w:proofErr w:type="spellEnd"/>
      <w:r w:rsidR="00BC79CA">
        <w:rPr>
          <w:sz w:val="22"/>
          <w:lang w:val="en-CA"/>
        </w:rPr>
        <w:t xml:space="preserve">, and that it remains detectable during the time from the reporting until </w:t>
      </w:r>
      <w:r w:rsidR="000C451C">
        <w:rPr>
          <w:sz w:val="22"/>
          <w:lang w:val="en-CA"/>
        </w:rPr>
        <w:t>completion of the SCell activation</w:t>
      </w:r>
      <w:r w:rsidR="00AE497B">
        <w:rPr>
          <w:sz w:val="22"/>
          <w:lang w:val="en-CA"/>
        </w:rPr>
        <w:t xml:space="preserve"> procedure</w:t>
      </w:r>
      <w:r w:rsidR="000C451C">
        <w:rPr>
          <w:sz w:val="22"/>
          <w:lang w:val="en-CA"/>
        </w:rPr>
        <w:t xml:space="preserve">. </w:t>
      </w:r>
      <w:r w:rsidR="00455F86">
        <w:rPr>
          <w:sz w:val="22"/>
          <w:lang w:val="en-CA"/>
        </w:rPr>
        <w:t>When this is fulfilled, the cell is considered known. Otherwise it is considered unknown.</w:t>
      </w:r>
    </w:p>
    <w:p w14:paraId="3089948F" w14:textId="5CEE948F" w:rsidR="00AE497B" w:rsidRDefault="00455F86" w:rsidP="00F13257">
      <w:pPr>
        <w:jc w:val="both"/>
        <w:rPr>
          <w:sz w:val="22"/>
          <w:lang w:val="en-CA"/>
        </w:rPr>
      </w:pPr>
      <w:r>
        <w:rPr>
          <w:sz w:val="22"/>
          <w:lang w:val="en-CA"/>
        </w:rPr>
        <w:t xml:space="preserve">We think that the same definitions can be used also for NR FR1 and </w:t>
      </w:r>
      <w:r w:rsidR="000E7216">
        <w:rPr>
          <w:sz w:val="22"/>
          <w:lang w:val="en-CA"/>
        </w:rPr>
        <w:t xml:space="preserve">NR </w:t>
      </w:r>
      <w:r>
        <w:rPr>
          <w:sz w:val="22"/>
          <w:lang w:val="en-CA"/>
        </w:rPr>
        <w:t xml:space="preserve">FR2 since </w:t>
      </w:r>
      <w:r w:rsidR="00B674F3">
        <w:rPr>
          <w:sz w:val="22"/>
          <w:lang w:val="en-CA"/>
        </w:rPr>
        <w:t>the definitions</w:t>
      </w:r>
      <w:r>
        <w:rPr>
          <w:sz w:val="22"/>
          <w:lang w:val="en-CA"/>
        </w:rPr>
        <w:t xml:space="preserve"> essentially say 1) the cell shall have been reported </w:t>
      </w:r>
      <w:r w:rsidR="00F841FF">
        <w:rPr>
          <w:sz w:val="22"/>
          <w:lang w:val="en-CA"/>
        </w:rPr>
        <w:t xml:space="preserve">by the UE </w:t>
      </w:r>
      <w:r>
        <w:rPr>
          <w:sz w:val="22"/>
          <w:lang w:val="en-CA"/>
        </w:rPr>
        <w:t xml:space="preserve">at least once </w:t>
      </w:r>
      <w:r w:rsidR="00F841FF">
        <w:rPr>
          <w:sz w:val="22"/>
          <w:lang w:val="en-CA"/>
        </w:rPr>
        <w:t>in the time span</w:t>
      </w:r>
      <w:r w:rsidR="00F82F18">
        <w:rPr>
          <w:sz w:val="22"/>
          <w:lang w:val="en-CA"/>
        </w:rPr>
        <w:t xml:space="preserve">, </w:t>
      </w:r>
      <w:r w:rsidR="00F841FF">
        <w:rPr>
          <w:sz w:val="22"/>
          <w:lang w:val="en-CA"/>
        </w:rPr>
        <w:t>and 2) the radio conditions shall remain above some threshold regarding received signal power, noise, and interference.</w:t>
      </w:r>
      <w:r w:rsidR="00A5738B">
        <w:rPr>
          <w:sz w:val="22"/>
          <w:lang w:val="en-CA"/>
        </w:rPr>
        <w:t xml:space="preserve"> </w:t>
      </w:r>
    </w:p>
    <w:p w14:paraId="0AFF2DF1" w14:textId="77777777" w:rsidR="00AE497B" w:rsidRDefault="00AE497B" w:rsidP="00F13257">
      <w:pPr>
        <w:jc w:val="both"/>
        <w:rPr>
          <w:sz w:val="22"/>
          <w:lang w:val="en-CA"/>
        </w:rPr>
      </w:pPr>
      <w:r>
        <w:rPr>
          <w:sz w:val="22"/>
          <w:lang w:val="en-CA"/>
        </w:rPr>
        <w:t xml:space="preserve">For FR1 it has already been agreed in RAN4 that the E-UTRA definitions can be reused. </w:t>
      </w:r>
    </w:p>
    <w:p w14:paraId="670A9744" w14:textId="24E4ED06" w:rsidR="001F1973" w:rsidRDefault="00AE497B" w:rsidP="00F13257">
      <w:pPr>
        <w:jc w:val="both"/>
        <w:rPr>
          <w:sz w:val="22"/>
          <w:lang w:val="en-CA"/>
        </w:rPr>
      </w:pPr>
      <w:r>
        <w:rPr>
          <w:sz w:val="22"/>
          <w:lang w:val="en-CA"/>
        </w:rPr>
        <w:t xml:space="preserve">For FR2, the natural interpretation </w:t>
      </w:r>
      <w:r w:rsidR="001F1973">
        <w:rPr>
          <w:sz w:val="22"/>
          <w:lang w:val="en-CA"/>
        </w:rPr>
        <w:t>when</w:t>
      </w:r>
      <w:r>
        <w:rPr>
          <w:sz w:val="22"/>
          <w:lang w:val="en-CA"/>
        </w:rPr>
        <w:t xml:space="preserve"> adopting the E-UTRA definitions would be that the UE shall be able to assume that a </w:t>
      </w:r>
      <w:proofErr w:type="spellStart"/>
      <w:r>
        <w:rPr>
          <w:sz w:val="22"/>
          <w:lang w:val="en-CA"/>
        </w:rPr>
        <w:t>Tx</w:t>
      </w:r>
      <w:proofErr w:type="spellEnd"/>
      <w:r>
        <w:rPr>
          <w:sz w:val="22"/>
          <w:lang w:val="en-CA"/>
        </w:rPr>
        <w:t xml:space="preserve"> beam that transmitted SSB when the UE reported the cell, shall do so also </w:t>
      </w:r>
      <w:r w:rsidR="001F1973">
        <w:rPr>
          <w:sz w:val="22"/>
          <w:lang w:val="en-CA"/>
        </w:rPr>
        <w:t xml:space="preserve">periodically </w:t>
      </w:r>
      <w:r>
        <w:rPr>
          <w:sz w:val="22"/>
          <w:lang w:val="en-CA"/>
        </w:rPr>
        <w:t>throughout the time between the reporting occasion and until completion of the SCell activation procedure</w:t>
      </w:r>
      <w:r w:rsidR="001F1973">
        <w:rPr>
          <w:sz w:val="22"/>
          <w:lang w:val="en-CA"/>
        </w:rPr>
        <w:t>, for the SCell to be considered known.</w:t>
      </w:r>
      <w:r w:rsidR="000E7216">
        <w:rPr>
          <w:sz w:val="22"/>
          <w:lang w:val="en-CA"/>
        </w:rPr>
        <w:t xml:space="preserve"> </w:t>
      </w:r>
      <w:r w:rsidR="001F1973">
        <w:rPr>
          <w:sz w:val="22"/>
          <w:lang w:val="en-CA"/>
        </w:rPr>
        <w:t>This is in our view a reasonable restriction on the network side, given that it concerns periodically broadcasted signals to be used for access.</w:t>
      </w:r>
    </w:p>
    <w:p w14:paraId="320ECFC0" w14:textId="22D01C63" w:rsidR="007D22B3" w:rsidRDefault="001F1973" w:rsidP="00F13257">
      <w:pPr>
        <w:jc w:val="both"/>
        <w:rPr>
          <w:sz w:val="22"/>
          <w:lang w:val="en-CA"/>
        </w:rPr>
      </w:pPr>
      <w:r>
        <w:rPr>
          <w:b/>
          <w:sz w:val="22"/>
          <w:lang w:val="en-CA"/>
        </w:rPr>
        <w:t>Proposal 1:</w:t>
      </w:r>
      <w:r>
        <w:rPr>
          <w:sz w:val="22"/>
          <w:lang w:val="en-CA"/>
        </w:rPr>
        <w:t xml:space="preserve"> The E-UTRA definitions of known and unknown cells shall be adopted for both NR FR1 and NR FR2. For FR2, </w:t>
      </w:r>
      <w:r w:rsidR="007D22B3">
        <w:rPr>
          <w:sz w:val="22"/>
          <w:lang w:val="en-CA"/>
        </w:rPr>
        <w:t>SSBs shall be transmitted by the same beams throughout the time period associated with the definition of known cell.</w:t>
      </w:r>
    </w:p>
    <w:p w14:paraId="48382E61" w14:textId="6232BC45" w:rsidR="00243D62" w:rsidRDefault="007D22B3" w:rsidP="00F13257">
      <w:pPr>
        <w:jc w:val="both"/>
        <w:rPr>
          <w:sz w:val="22"/>
          <w:lang w:val="en-CA"/>
        </w:rPr>
      </w:pPr>
      <w:r>
        <w:rPr>
          <w:sz w:val="22"/>
          <w:lang w:val="en-CA"/>
        </w:rPr>
        <w:t xml:space="preserve">For NR FR2 there </w:t>
      </w:r>
      <w:r w:rsidR="00356E17">
        <w:rPr>
          <w:sz w:val="22"/>
          <w:lang w:val="en-CA"/>
        </w:rPr>
        <w:t>are some</w:t>
      </w:r>
      <w:r>
        <w:rPr>
          <w:sz w:val="22"/>
          <w:lang w:val="en-CA"/>
        </w:rPr>
        <w:t xml:space="preserve"> added compl</w:t>
      </w:r>
      <w:r w:rsidR="00356E17">
        <w:rPr>
          <w:sz w:val="22"/>
          <w:lang w:val="en-CA"/>
        </w:rPr>
        <w:t>ications</w:t>
      </w:r>
      <w:r>
        <w:rPr>
          <w:sz w:val="22"/>
          <w:lang w:val="en-CA"/>
        </w:rPr>
        <w:t xml:space="preserve"> </w:t>
      </w:r>
      <w:r w:rsidR="00356E17">
        <w:rPr>
          <w:sz w:val="22"/>
          <w:lang w:val="en-CA"/>
        </w:rPr>
        <w:t xml:space="preserve">in case </w:t>
      </w:r>
      <w:r>
        <w:rPr>
          <w:sz w:val="22"/>
          <w:lang w:val="en-CA"/>
        </w:rPr>
        <w:t>UE Rx beam sweeping</w:t>
      </w:r>
      <w:r w:rsidR="00356E17">
        <w:rPr>
          <w:sz w:val="22"/>
          <w:lang w:val="en-CA"/>
        </w:rPr>
        <w:t xml:space="preserve"> is </w:t>
      </w:r>
      <w:r w:rsidR="00243D62">
        <w:rPr>
          <w:sz w:val="22"/>
          <w:lang w:val="en-CA"/>
        </w:rPr>
        <w:t xml:space="preserve">used. UE Rx beam sweeping is called for when the UE is designed with less hardware resources than needed to receive signals from all antenna panels simultaneously. Instead, the UE is time-multiplexing which antenna panels to use. In case the UE is rotated around any of its own axes, the antenna panel that was used for reception previously might not be suitable anymore. This is however </w:t>
      </w:r>
      <w:r w:rsidR="00810BC1">
        <w:rPr>
          <w:sz w:val="22"/>
          <w:lang w:val="en-CA"/>
        </w:rPr>
        <w:t>completely outside network control and is not related to the radio conditions in the spot where the UE is located. Hence it shall not be included in the definitions of known and unknown</w:t>
      </w:r>
      <w:r w:rsidR="00243D62">
        <w:rPr>
          <w:sz w:val="22"/>
          <w:lang w:val="en-CA"/>
        </w:rPr>
        <w:t xml:space="preserve"> </w:t>
      </w:r>
      <w:r w:rsidR="00810BC1">
        <w:rPr>
          <w:sz w:val="22"/>
          <w:lang w:val="en-CA"/>
        </w:rPr>
        <w:t>cell. It is rather a UE capability whether UE Rx beam sweeping is needed or not.</w:t>
      </w:r>
    </w:p>
    <w:p w14:paraId="4F6D86A5" w14:textId="3E7233E6" w:rsidR="00810BC1" w:rsidRDefault="00810BC1" w:rsidP="00F13257">
      <w:pPr>
        <w:jc w:val="both"/>
        <w:rPr>
          <w:sz w:val="22"/>
          <w:lang w:val="en-CA"/>
        </w:rPr>
      </w:pPr>
      <w:r>
        <w:rPr>
          <w:b/>
          <w:sz w:val="22"/>
          <w:lang w:val="en-CA"/>
        </w:rPr>
        <w:t>Proposal 2:</w:t>
      </w:r>
      <w:r>
        <w:rPr>
          <w:sz w:val="22"/>
          <w:lang w:val="en-CA"/>
        </w:rPr>
        <w:t xml:space="preserve"> UE Rx beam switching shall not be part of the definitions of known and unknown cell, since </w:t>
      </w:r>
      <w:r w:rsidR="00D0604F">
        <w:rPr>
          <w:sz w:val="22"/>
          <w:lang w:val="en-CA"/>
        </w:rPr>
        <w:t xml:space="preserve">need for </w:t>
      </w:r>
      <w:r>
        <w:rPr>
          <w:sz w:val="22"/>
          <w:lang w:val="en-CA"/>
        </w:rPr>
        <w:t xml:space="preserve">UE Rx beam switching is related to UE capability and not to </w:t>
      </w:r>
      <w:r w:rsidR="00D0604F">
        <w:rPr>
          <w:sz w:val="22"/>
          <w:lang w:val="en-CA"/>
        </w:rPr>
        <w:t xml:space="preserve">the </w:t>
      </w:r>
      <w:r>
        <w:rPr>
          <w:sz w:val="22"/>
          <w:lang w:val="en-CA"/>
        </w:rPr>
        <w:t>radio conditions</w:t>
      </w:r>
      <w:r w:rsidR="00D0604F">
        <w:rPr>
          <w:sz w:val="22"/>
          <w:lang w:val="en-CA"/>
        </w:rPr>
        <w:t xml:space="preserve"> where the UE is located</w:t>
      </w:r>
      <w:r>
        <w:rPr>
          <w:sz w:val="22"/>
          <w:lang w:val="en-CA"/>
        </w:rPr>
        <w:t>.</w:t>
      </w:r>
    </w:p>
    <w:p w14:paraId="1834060D" w14:textId="77777777" w:rsidR="00C01AF1" w:rsidRDefault="009437DE" w:rsidP="00F13257">
      <w:pPr>
        <w:jc w:val="both"/>
        <w:rPr>
          <w:sz w:val="22"/>
          <w:lang w:val="en-CA"/>
        </w:rPr>
      </w:pPr>
      <w:r>
        <w:rPr>
          <w:sz w:val="22"/>
          <w:lang w:val="en-CA"/>
        </w:rPr>
        <w:t>Provided that it is not long time between last SCell measurement (e.g. according to a SCell measurement cycle</w:t>
      </w:r>
      <w:r w:rsidR="00095D76">
        <w:rPr>
          <w:sz w:val="22"/>
          <w:lang w:val="en-CA"/>
        </w:rPr>
        <w:t>, i.e., not necessarily reported to the network</w:t>
      </w:r>
      <w:r>
        <w:rPr>
          <w:sz w:val="22"/>
          <w:lang w:val="en-CA"/>
        </w:rPr>
        <w:t xml:space="preserve">) and </w:t>
      </w:r>
      <w:r w:rsidR="00095D76">
        <w:rPr>
          <w:sz w:val="22"/>
          <w:lang w:val="en-CA"/>
        </w:rPr>
        <w:t xml:space="preserve">the SCell activation, there is a high probability that the UE can use the same (set of) Rx antenna panel(s) as last time it measured the concerned </w:t>
      </w:r>
      <w:proofErr w:type="spellStart"/>
      <w:r w:rsidR="00095D76">
        <w:rPr>
          <w:sz w:val="22"/>
          <w:lang w:val="en-CA"/>
        </w:rPr>
        <w:t>Tx</w:t>
      </w:r>
      <w:proofErr w:type="spellEnd"/>
      <w:r w:rsidR="00095D76">
        <w:rPr>
          <w:sz w:val="22"/>
          <w:lang w:val="en-CA"/>
        </w:rPr>
        <w:t xml:space="preserve"> beam. </w:t>
      </w:r>
    </w:p>
    <w:p w14:paraId="3285000C" w14:textId="75DA5872" w:rsidR="00C01AF1" w:rsidRDefault="00095D76" w:rsidP="00F13257">
      <w:pPr>
        <w:jc w:val="both"/>
        <w:rPr>
          <w:sz w:val="22"/>
          <w:lang w:val="en-CA"/>
        </w:rPr>
      </w:pPr>
      <w:r>
        <w:rPr>
          <w:sz w:val="22"/>
          <w:lang w:val="en-CA"/>
        </w:rPr>
        <w:t xml:space="preserve">In our opinion, e.g. the SCell activation core requirements shall be based on the assumption that the UE does not have to switch which antenna panel it is using between the last measurement of the SSB and the SCell activation. Conformance testing shall be based on this assumption too, i.e. UE in fixed position and with fixed </w:t>
      </w:r>
      <w:r>
        <w:rPr>
          <w:sz w:val="22"/>
          <w:lang w:val="en-CA"/>
        </w:rPr>
        <w:lastRenderedPageBreak/>
        <w:t>attitude etc.</w:t>
      </w:r>
      <w:r w:rsidR="00C01AF1">
        <w:rPr>
          <w:sz w:val="22"/>
          <w:lang w:val="en-CA"/>
        </w:rPr>
        <w:t xml:space="preserve"> </w:t>
      </w:r>
      <w:r>
        <w:rPr>
          <w:sz w:val="22"/>
          <w:lang w:val="en-CA"/>
        </w:rPr>
        <w:t xml:space="preserve">Should the UE however need to change which antenna panel to use, the performance shall be capped by the performance requirements for </w:t>
      </w:r>
      <w:r w:rsidR="00C01AF1">
        <w:rPr>
          <w:sz w:val="22"/>
          <w:lang w:val="en-CA"/>
        </w:rPr>
        <w:t>SCell activation of unknown SCell. The performance requirement for unknown SCell then need to take into account whether the UE is depending on Rx beam sweeping.</w:t>
      </w:r>
    </w:p>
    <w:p w14:paraId="22FA0289" w14:textId="065DE179" w:rsidR="0089497E" w:rsidRPr="00C01AF1" w:rsidRDefault="00C01AF1" w:rsidP="00C01AF1">
      <w:pPr>
        <w:jc w:val="both"/>
        <w:rPr>
          <w:sz w:val="22"/>
          <w:lang w:val="en-CA"/>
        </w:rPr>
      </w:pPr>
      <w:r>
        <w:rPr>
          <w:sz w:val="22"/>
          <w:lang w:val="en-CA"/>
        </w:rPr>
        <w:t xml:space="preserve">In case there will be UE implementations that do no need to employ Rx beam sweeping it might make sense to have a reported UE capability (no beam sweeping, beam sweeping), and then further, differentiated requirements e.g. for SCell addition of unknown cell depending on whether UE relies on beam sweeping or not. </w:t>
      </w:r>
      <w:r w:rsidR="00095D76">
        <w:rPr>
          <w:sz w:val="22"/>
          <w:lang w:val="en-CA"/>
        </w:rPr>
        <w:t xml:space="preserve">  </w:t>
      </w:r>
    </w:p>
    <w:p w14:paraId="14D7210F" w14:textId="0896E94E" w:rsidR="005A345C" w:rsidRDefault="00990154" w:rsidP="00990154">
      <w:pPr>
        <w:pStyle w:val="Heading1"/>
        <w:rPr>
          <w:lang w:val="en-CA"/>
        </w:rPr>
      </w:pPr>
      <w:r>
        <w:rPr>
          <w:lang w:val="en-CA"/>
        </w:rPr>
        <w:t>Summary</w:t>
      </w:r>
      <w:r w:rsidR="0050366D">
        <w:rPr>
          <w:lang w:val="en-CA"/>
        </w:rPr>
        <w:t xml:space="preserve"> and Conclusions</w:t>
      </w:r>
    </w:p>
    <w:p w14:paraId="20810CC9" w14:textId="789F6C3B" w:rsidR="00C01AF1" w:rsidRPr="00C01AF1" w:rsidRDefault="00C01AF1" w:rsidP="00C01AF1">
      <w:pPr>
        <w:rPr>
          <w:sz w:val="22"/>
          <w:lang w:val="en-CA"/>
        </w:rPr>
      </w:pPr>
      <w:r>
        <w:rPr>
          <w:sz w:val="22"/>
          <w:lang w:val="en-CA"/>
        </w:rPr>
        <w:t>In this contribution we have discussed the definitions of known and unknown cell for NR FR1 and FR2. The following proposals are made:</w:t>
      </w:r>
    </w:p>
    <w:p w14:paraId="7D4B218A" w14:textId="77777777" w:rsidR="00C01AF1" w:rsidRDefault="00C01AF1" w:rsidP="00C01AF1">
      <w:pPr>
        <w:jc w:val="both"/>
        <w:rPr>
          <w:sz w:val="22"/>
          <w:lang w:val="en-CA"/>
        </w:rPr>
      </w:pPr>
      <w:r>
        <w:rPr>
          <w:b/>
          <w:sz w:val="22"/>
          <w:lang w:val="en-CA"/>
        </w:rPr>
        <w:t>Proposal 1:</w:t>
      </w:r>
      <w:r>
        <w:rPr>
          <w:sz w:val="22"/>
          <w:lang w:val="en-CA"/>
        </w:rPr>
        <w:t xml:space="preserve"> The E-UTRA definitions of known and unknown cells shall be adopted for both NR FR1 and NR FR2. For FR2, SSBs shall be transmitted by the same beams throughout the time period associated with the definition of known cell.</w:t>
      </w:r>
    </w:p>
    <w:p w14:paraId="04B4505E" w14:textId="18EA0546" w:rsidR="00F14E85" w:rsidRPr="00C01AF1" w:rsidRDefault="00C01AF1" w:rsidP="00C01AF1">
      <w:pPr>
        <w:jc w:val="both"/>
        <w:rPr>
          <w:sz w:val="22"/>
          <w:lang w:val="en-CA"/>
        </w:rPr>
      </w:pPr>
      <w:r>
        <w:rPr>
          <w:b/>
          <w:sz w:val="22"/>
          <w:lang w:val="en-CA"/>
        </w:rPr>
        <w:t>Proposal 2:</w:t>
      </w:r>
      <w:r>
        <w:rPr>
          <w:sz w:val="22"/>
          <w:lang w:val="en-CA"/>
        </w:rPr>
        <w:t xml:space="preserve"> UE Rx beam switching shall not be part of the definitions of known and unknown cell, since need for UE Rx beam switching is related to UE capability and not to the radio conditions where the UE is located.</w:t>
      </w:r>
    </w:p>
    <w:p w14:paraId="7842F815"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53DDD087" w14:textId="5F75BF26" w:rsidR="004A6978" w:rsidRDefault="00F14E85" w:rsidP="00F14E85">
      <w:pPr>
        <w:numPr>
          <w:ilvl w:val="0"/>
          <w:numId w:val="9"/>
        </w:numPr>
        <w:tabs>
          <w:tab w:val="left" w:pos="851"/>
        </w:tabs>
        <w:rPr>
          <w:rFonts w:ascii="Arial" w:hAnsi="Arial" w:cs="Arial"/>
          <w:sz w:val="22"/>
          <w:szCs w:val="22"/>
          <w:lang w:val="en-CA"/>
        </w:rPr>
      </w:pPr>
      <w:bookmarkStart w:id="4" w:name="_Ref498420781"/>
      <w:bookmarkStart w:id="5" w:name="_Ref485387765"/>
      <w:bookmarkStart w:id="6" w:name="_Ref481738953"/>
      <w:r w:rsidRPr="006C0919">
        <w:rPr>
          <w:rFonts w:ascii="Arial" w:hAnsi="Arial" w:cs="Arial"/>
          <w:sz w:val="22"/>
          <w:szCs w:val="22"/>
          <w:lang w:val="en-CA"/>
        </w:rPr>
        <w:t>R4-1802694</w:t>
      </w:r>
      <w:r w:rsidRPr="006C0919">
        <w:rPr>
          <w:rFonts w:ascii="Arial" w:hAnsi="Arial" w:cs="Arial"/>
          <w:sz w:val="22"/>
          <w:szCs w:val="22"/>
          <w:lang w:val="en-CA"/>
        </w:rPr>
        <w:tab/>
      </w:r>
      <w:r>
        <w:rPr>
          <w:rFonts w:ascii="Arial" w:hAnsi="Arial" w:cs="Arial"/>
          <w:sz w:val="22"/>
          <w:szCs w:val="22"/>
          <w:lang w:val="en-CA"/>
        </w:rPr>
        <w:t>“</w:t>
      </w:r>
      <w:r w:rsidRPr="006C0919">
        <w:rPr>
          <w:rFonts w:ascii="Arial" w:hAnsi="Arial" w:cs="Arial"/>
          <w:sz w:val="22"/>
          <w:szCs w:val="22"/>
          <w:lang w:val="en-CA"/>
        </w:rPr>
        <w:t>Discussion on definition of known cell</w:t>
      </w:r>
      <w:r>
        <w:rPr>
          <w:rFonts w:ascii="Arial" w:hAnsi="Arial" w:cs="Arial"/>
          <w:sz w:val="22"/>
          <w:szCs w:val="22"/>
          <w:lang w:val="en-CA"/>
        </w:rPr>
        <w:t xml:space="preserve">”, </w:t>
      </w:r>
      <w:r w:rsidRPr="006C0919">
        <w:rPr>
          <w:rFonts w:ascii="Arial" w:hAnsi="Arial" w:cs="Arial"/>
          <w:sz w:val="22"/>
          <w:szCs w:val="22"/>
          <w:lang w:val="en-CA"/>
        </w:rPr>
        <w:t xml:space="preserve">Huawei, </w:t>
      </w:r>
      <w:proofErr w:type="spellStart"/>
      <w:r w:rsidRPr="006C0919">
        <w:rPr>
          <w:rFonts w:ascii="Arial" w:hAnsi="Arial" w:cs="Arial"/>
          <w:sz w:val="22"/>
          <w:szCs w:val="22"/>
          <w:lang w:val="en-CA"/>
        </w:rPr>
        <w:t>HiSilicon</w:t>
      </w:r>
      <w:bookmarkEnd w:id="4"/>
      <w:bookmarkEnd w:id="5"/>
      <w:bookmarkEnd w:id="6"/>
      <w:proofErr w:type="spellEnd"/>
    </w:p>
    <w:p w14:paraId="504AA7E0" w14:textId="7D3F3E45" w:rsidR="00F14E85" w:rsidRPr="00F14E85" w:rsidRDefault="00F14E85" w:rsidP="00F14E85">
      <w:pPr>
        <w:numPr>
          <w:ilvl w:val="0"/>
          <w:numId w:val="9"/>
        </w:numPr>
        <w:tabs>
          <w:tab w:val="left" w:pos="851"/>
        </w:tabs>
        <w:rPr>
          <w:rFonts w:ascii="Arial" w:hAnsi="Arial" w:cs="Arial"/>
          <w:sz w:val="22"/>
          <w:szCs w:val="22"/>
          <w:lang w:val="en-CA"/>
        </w:rPr>
      </w:pPr>
      <w:r w:rsidRPr="00F14E85">
        <w:rPr>
          <w:rFonts w:ascii="Arial" w:hAnsi="Arial" w:cs="Arial"/>
          <w:sz w:val="22"/>
          <w:szCs w:val="22"/>
          <w:lang w:val="en-CA"/>
        </w:rPr>
        <w:t>R4-1803045</w:t>
      </w:r>
      <w:r w:rsidRPr="00F14E85">
        <w:rPr>
          <w:rFonts w:ascii="Arial" w:hAnsi="Arial" w:cs="Arial"/>
          <w:sz w:val="22"/>
          <w:szCs w:val="22"/>
          <w:lang w:val="en-CA"/>
        </w:rPr>
        <w:tab/>
        <w:t>“Definition of Known Cell in FR2”, Qualcomm Incorporated</w:t>
      </w:r>
    </w:p>
    <w:p w14:paraId="19CAD631" w14:textId="77777777" w:rsidR="00F14E85" w:rsidRPr="00F14E85" w:rsidRDefault="00F14E85" w:rsidP="00F14E85">
      <w:pPr>
        <w:numPr>
          <w:ilvl w:val="0"/>
          <w:numId w:val="9"/>
        </w:numPr>
        <w:tabs>
          <w:tab w:val="left" w:pos="851"/>
        </w:tabs>
        <w:rPr>
          <w:rFonts w:ascii="Arial" w:hAnsi="Arial" w:cs="Arial"/>
          <w:sz w:val="22"/>
          <w:szCs w:val="22"/>
          <w:lang w:val="en-CA"/>
        </w:rPr>
      </w:pPr>
      <w:r w:rsidRPr="00F14E85">
        <w:rPr>
          <w:rFonts w:ascii="Arial" w:hAnsi="Arial" w:cs="Arial"/>
          <w:sz w:val="22"/>
          <w:szCs w:val="22"/>
          <w:lang w:val="en-CA"/>
        </w:rPr>
        <w:t>R4-1801834</w:t>
      </w:r>
      <w:r w:rsidRPr="00F14E85">
        <w:rPr>
          <w:rFonts w:ascii="Arial" w:hAnsi="Arial" w:cs="Arial"/>
          <w:sz w:val="22"/>
          <w:szCs w:val="22"/>
          <w:lang w:val="en-CA"/>
        </w:rPr>
        <w:tab/>
        <w:t>“Discussion on NR PSCell/SCell known/unknown conditions”, Intel Corporation</w:t>
      </w:r>
    </w:p>
    <w:p w14:paraId="4332F71C" w14:textId="7255E316" w:rsidR="00F14E85" w:rsidRPr="00F14E85" w:rsidRDefault="00F14E85" w:rsidP="00F14E85">
      <w:pPr>
        <w:numPr>
          <w:ilvl w:val="0"/>
          <w:numId w:val="9"/>
        </w:numPr>
        <w:tabs>
          <w:tab w:val="left" w:pos="851"/>
        </w:tabs>
        <w:rPr>
          <w:rFonts w:ascii="Arial" w:hAnsi="Arial" w:cs="Arial"/>
          <w:sz w:val="22"/>
          <w:szCs w:val="22"/>
          <w:lang w:val="en-CA"/>
        </w:rPr>
      </w:pPr>
      <w:bookmarkStart w:id="7" w:name="_Ref510817041"/>
      <w:r>
        <w:rPr>
          <w:rFonts w:ascii="Arial" w:hAnsi="Arial" w:cs="Arial"/>
          <w:sz w:val="22"/>
          <w:szCs w:val="22"/>
          <w:lang w:val="en-CA"/>
        </w:rPr>
        <w:t>“</w:t>
      </w:r>
      <w:r w:rsidRPr="00503F4B">
        <w:rPr>
          <w:rFonts w:ascii="Arial" w:hAnsi="Arial" w:cs="Arial"/>
          <w:sz w:val="22"/>
          <w:szCs w:val="22"/>
          <w:lang w:val="en-CA"/>
        </w:rPr>
        <w:t>Way forward on PSCell addition delay and SCell activation delay</w:t>
      </w:r>
      <w:r>
        <w:rPr>
          <w:rFonts w:ascii="Arial" w:hAnsi="Arial" w:cs="Arial"/>
          <w:sz w:val="22"/>
          <w:szCs w:val="22"/>
          <w:lang w:val="en-CA"/>
        </w:rPr>
        <w:t xml:space="preserve">”, </w:t>
      </w:r>
      <w:r w:rsidRPr="00503F4B">
        <w:rPr>
          <w:rFonts w:ascii="Arial" w:hAnsi="Arial" w:cs="Arial"/>
          <w:sz w:val="22"/>
          <w:szCs w:val="22"/>
          <w:lang w:val="en-CA"/>
        </w:rPr>
        <w:t>CATT</w:t>
      </w:r>
      <w:bookmarkEnd w:id="7"/>
    </w:p>
    <w:sectPr w:rsidR="00F14E85" w:rsidRPr="00F14E85"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6F77B" w14:textId="77777777" w:rsidR="00697040" w:rsidRDefault="00697040">
      <w:r>
        <w:separator/>
      </w:r>
    </w:p>
  </w:endnote>
  <w:endnote w:type="continuationSeparator" w:id="0">
    <w:p w14:paraId="7925120A" w14:textId="77777777" w:rsidR="00697040" w:rsidRDefault="0069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2928" w14:textId="77777777" w:rsidR="00C01AF1" w:rsidRDefault="00C01AF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D88D8DE" w14:textId="77777777" w:rsidR="00C01AF1" w:rsidRDefault="00C01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8ED28" w14:textId="64A52A93" w:rsidR="00C01AF1" w:rsidRDefault="00C01AF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14E85">
      <w:rPr>
        <w:rStyle w:val="PageNumber"/>
        <w:noProof/>
      </w:rPr>
      <w:t>2</w:t>
    </w:r>
    <w:r>
      <w:rPr>
        <w:rStyle w:val="PageNumber"/>
      </w:rPr>
      <w:fldChar w:fldCharType="end"/>
    </w:r>
  </w:p>
  <w:p w14:paraId="6E0ED485" w14:textId="77777777" w:rsidR="00C01AF1" w:rsidRDefault="00C01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71B16" w14:textId="77777777" w:rsidR="00C01AF1" w:rsidRDefault="00C01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E3FC0" w14:textId="77777777" w:rsidR="00697040" w:rsidRDefault="00697040">
      <w:r>
        <w:separator/>
      </w:r>
    </w:p>
  </w:footnote>
  <w:footnote w:type="continuationSeparator" w:id="0">
    <w:p w14:paraId="3DD783F4" w14:textId="77777777" w:rsidR="00697040" w:rsidRDefault="00697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DC19F" w14:textId="77777777" w:rsidR="00C01AF1" w:rsidRDefault="00C01A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9B24B" w14:textId="77777777" w:rsidR="00C01AF1" w:rsidRDefault="00C01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F3A2" w14:textId="77777777" w:rsidR="00C01AF1" w:rsidRDefault="00C01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550ED5"/>
    <w:multiLevelType w:val="hybridMultilevel"/>
    <w:tmpl w:val="42C4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3"/>
  </w:num>
  <w:num w:numId="3">
    <w:abstractNumId w:val="32"/>
  </w:num>
  <w:num w:numId="4">
    <w:abstractNumId w:val="16"/>
  </w:num>
  <w:num w:numId="5">
    <w:abstractNumId w:val="17"/>
  </w:num>
  <w:num w:numId="6">
    <w:abstractNumId w:val="1"/>
  </w:num>
  <w:num w:numId="7">
    <w:abstractNumId w:val="0"/>
  </w:num>
  <w:num w:numId="8">
    <w:abstractNumId w:val="35"/>
  </w:num>
  <w:num w:numId="9">
    <w:abstractNumId w:val="27"/>
  </w:num>
  <w:num w:numId="10">
    <w:abstractNumId w:val="23"/>
  </w:num>
  <w:num w:numId="11">
    <w:abstractNumId w:val="15"/>
  </w:num>
  <w:num w:numId="12">
    <w:abstractNumId w:val="12"/>
  </w:num>
  <w:num w:numId="13">
    <w:abstractNumId w:val="21"/>
  </w:num>
  <w:num w:numId="14">
    <w:abstractNumId w:val="31"/>
  </w:num>
  <w:num w:numId="15">
    <w:abstractNumId w:val="2"/>
  </w:num>
  <w:num w:numId="16">
    <w:abstractNumId w:val="22"/>
  </w:num>
  <w:num w:numId="17">
    <w:abstractNumId w:val="8"/>
  </w:num>
  <w:num w:numId="18">
    <w:abstractNumId w:val="5"/>
  </w:num>
  <w:num w:numId="19">
    <w:abstractNumId w:val="13"/>
  </w:num>
  <w:num w:numId="20">
    <w:abstractNumId w:val="18"/>
  </w:num>
  <w:num w:numId="21">
    <w:abstractNumId w:val="25"/>
  </w:num>
  <w:num w:numId="22">
    <w:abstractNumId w:val="9"/>
  </w:num>
  <w:num w:numId="23">
    <w:abstractNumId w:val="4"/>
  </w:num>
  <w:num w:numId="24">
    <w:abstractNumId w:val="20"/>
  </w:num>
  <w:num w:numId="25">
    <w:abstractNumId w:val="34"/>
  </w:num>
  <w:num w:numId="26">
    <w:abstractNumId w:val="14"/>
  </w:num>
  <w:num w:numId="27">
    <w:abstractNumId w:val="29"/>
  </w:num>
  <w:num w:numId="28">
    <w:abstractNumId w:val="10"/>
  </w:num>
  <w:num w:numId="29">
    <w:abstractNumId w:val="11"/>
  </w:num>
  <w:num w:numId="30">
    <w:abstractNumId w:val="24"/>
  </w:num>
  <w:num w:numId="31">
    <w:abstractNumId w:val="6"/>
  </w:num>
  <w:num w:numId="32">
    <w:abstractNumId w:val="26"/>
  </w:num>
  <w:num w:numId="33">
    <w:abstractNumId w:val="3"/>
  </w:num>
  <w:num w:numId="34">
    <w:abstractNumId w:val="7"/>
  </w:num>
  <w:num w:numId="35">
    <w:abstractNumId w:val="30"/>
  </w:num>
  <w:num w:numId="3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1F9"/>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6EEB"/>
    <w:rsid w:val="000271F2"/>
    <w:rsid w:val="00027408"/>
    <w:rsid w:val="00027A86"/>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D76"/>
    <w:rsid w:val="00095E60"/>
    <w:rsid w:val="00096078"/>
    <w:rsid w:val="00096225"/>
    <w:rsid w:val="000972BA"/>
    <w:rsid w:val="0009782E"/>
    <w:rsid w:val="000A2E40"/>
    <w:rsid w:val="000A44CD"/>
    <w:rsid w:val="000A46A7"/>
    <w:rsid w:val="000A53F6"/>
    <w:rsid w:val="000A56E8"/>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451C"/>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E7216"/>
    <w:rsid w:val="000F0CB8"/>
    <w:rsid w:val="000F1CEE"/>
    <w:rsid w:val="000F292E"/>
    <w:rsid w:val="000F2CFC"/>
    <w:rsid w:val="000F2D9C"/>
    <w:rsid w:val="000F2FB7"/>
    <w:rsid w:val="000F3191"/>
    <w:rsid w:val="000F36C3"/>
    <w:rsid w:val="000F37A5"/>
    <w:rsid w:val="000F454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27F7"/>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F05"/>
    <w:rsid w:val="001B4D42"/>
    <w:rsid w:val="001B4E1C"/>
    <w:rsid w:val="001B508E"/>
    <w:rsid w:val="001B51E2"/>
    <w:rsid w:val="001B5CC6"/>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973"/>
    <w:rsid w:val="001F1FB0"/>
    <w:rsid w:val="001F40CE"/>
    <w:rsid w:val="001F4CC0"/>
    <w:rsid w:val="001F5CBC"/>
    <w:rsid w:val="001F6168"/>
    <w:rsid w:val="001F673D"/>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81E"/>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3D62"/>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E18"/>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09AD"/>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3D78"/>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44C9"/>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6E17"/>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70A"/>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0BA"/>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3F68"/>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1BC"/>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5F86"/>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7F"/>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5E"/>
    <w:rsid w:val="004B2FA8"/>
    <w:rsid w:val="004B3062"/>
    <w:rsid w:val="004B38AF"/>
    <w:rsid w:val="004B3DF7"/>
    <w:rsid w:val="004B3E01"/>
    <w:rsid w:val="004B4919"/>
    <w:rsid w:val="004B493C"/>
    <w:rsid w:val="004B4A71"/>
    <w:rsid w:val="004B5303"/>
    <w:rsid w:val="004B55E0"/>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AD0"/>
    <w:rsid w:val="00500C80"/>
    <w:rsid w:val="00500F0C"/>
    <w:rsid w:val="00501116"/>
    <w:rsid w:val="00501A9C"/>
    <w:rsid w:val="00501CAF"/>
    <w:rsid w:val="005028D7"/>
    <w:rsid w:val="005030B0"/>
    <w:rsid w:val="005032B8"/>
    <w:rsid w:val="0050366D"/>
    <w:rsid w:val="00503F4B"/>
    <w:rsid w:val="00504255"/>
    <w:rsid w:val="00504857"/>
    <w:rsid w:val="005048A6"/>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088"/>
    <w:rsid w:val="005912E5"/>
    <w:rsid w:val="00591348"/>
    <w:rsid w:val="00591FCC"/>
    <w:rsid w:val="00592E0F"/>
    <w:rsid w:val="005943A4"/>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5CA"/>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4D36"/>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8D8"/>
    <w:rsid w:val="00687FDC"/>
    <w:rsid w:val="00690AA3"/>
    <w:rsid w:val="006921FD"/>
    <w:rsid w:val="006927F0"/>
    <w:rsid w:val="006933FC"/>
    <w:rsid w:val="0069386C"/>
    <w:rsid w:val="00693A27"/>
    <w:rsid w:val="00693D6C"/>
    <w:rsid w:val="0069441B"/>
    <w:rsid w:val="00695646"/>
    <w:rsid w:val="00696002"/>
    <w:rsid w:val="00696CC9"/>
    <w:rsid w:val="00696E12"/>
    <w:rsid w:val="00697040"/>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0919"/>
    <w:rsid w:val="006C10DC"/>
    <w:rsid w:val="006C15BB"/>
    <w:rsid w:val="006C16C8"/>
    <w:rsid w:val="006C1A4B"/>
    <w:rsid w:val="006C1F79"/>
    <w:rsid w:val="006C25D3"/>
    <w:rsid w:val="006C36D0"/>
    <w:rsid w:val="006C384C"/>
    <w:rsid w:val="006C4091"/>
    <w:rsid w:val="006C4211"/>
    <w:rsid w:val="006C4680"/>
    <w:rsid w:val="006C4769"/>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A7E56"/>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2B3"/>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0BC1"/>
    <w:rsid w:val="00811A9C"/>
    <w:rsid w:val="00811ACB"/>
    <w:rsid w:val="00812140"/>
    <w:rsid w:val="00812736"/>
    <w:rsid w:val="00813840"/>
    <w:rsid w:val="00813A37"/>
    <w:rsid w:val="00813BB3"/>
    <w:rsid w:val="00813CD0"/>
    <w:rsid w:val="00813F40"/>
    <w:rsid w:val="00814A1D"/>
    <w:rsid w:val="00814BFE"/>
    <w:rsid w:val="00814C4B"/>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5"/>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E7B70"/>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9B5"/>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55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7DE"/>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1BCF"/>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5738B"/>
    <w:rsid w:val="00A614F5"/>
    <w:rsid w:val="00A62154"/>
    <w:rsid w:val="00A64E3D"/>
    <w:rsid w:val="00A651D3"/>
    <w:rsid w:val="00A654CF"/>
    <w:rsid w:val="00A65681"/>
    <w:rsid w:val="00A65AF5"/>
    <w:rsid w:val="00A65B59"/>
    <w:rsid w:val="00A660CE"/>
    <w:rsid w:val="00A66AB2"/>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936"/>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426"/>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202D"/>
    <w:rsid w:val="00AE2DBF"/>
    <w:rsid w:val="00AE37CD"/>
    <w:rsid w:val="00AE497B"/>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6266"/>
    <w:rsid w:val="00AF64CD"/>
    <w:rsid w:val="00AF6AC6"/>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9C3"/>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4F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9CA"/>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1AF1"/>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4C6D"/>
    <w:rsid w:val="00D0512B"/>
    <w:rsid w:val="00D05C88"/>
    <w:rsid w:val="00D0604F"/>
    <w:rsid w:val="00D06452"/>
    <w:rsid w:val="00D06496"/>
    <w:rsid w:val="00D06F9A"/>
    <w:rsid w:val="00D072D3"/>
    <w:rsid w:val="00D072E6"/>
    <w:rsid w:val="00D07A14"/>
    <w:rsid w:val="00D10C2F"/>
    <w:rsid w:val="00D11DB9"/>
    <w:rsid w:val="00D11EAE"/>
    <w:rsid w:val="00D1228B"/>
    <w:rsid w:val="00D12AC0"/>
    <w:rsid w:val="00D12ECA"/>
    <w:rsid w:val="00D135B4"/>
    <w:rsid w:val="00D14195"/>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2F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4A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7F8"/>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9C8"/>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257"/>
    <w:rsid w:val="00F13365"/>
    <w:rsid w:val="00F13AFA"/>
    <w:rsid w:val="00F13D55"/>
    <w:rsid w:val="00F1460A"/>
    <w:rsid w:val="00F14E85"/>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2E32"/>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E70"/>
    <w:rsid w:val="00F82F18"/>
    <w:rsid w:val="00F83E01"/>
    <w:rsid w:val="00F84046"/>
    <w:rsid w:val="00F841FF"/>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27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04FA1-D5AE-405D-9F3A-FD7E85654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2018-04-04T07:05:00Z</dcterms:created>
  <dcterms:modified xsi:type="dcterms:W3CDTF">2018-04-06T20:28:00Z</dcterms:modified>
</cp:coreProperties>
</file>